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98409" w14:textId="77777777" w:rsidR="00EB0775" w:rsidRPr="00134F2F" w:rsidRDefault="00EB0775" w:rsidP="00EB0775">
      <w:pPr>
        <w:spacing w:after="4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Windward Ltd.</w:t>
      </w:r>
    </w:p>
    <w:p w14:paraId="6C8B2EC0" w14:textId="77777777" w:rsidR="00EB0775" w:rsidRPr="00753136" w:rsidRDefault="00EB0775" w:rsidP="00EB0775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753136">
        <w:rPr>
          <w:rFonts w:ascii="Arial" w:hAnsi="Arial" w:cs="Arial"/>
          <w:i/>
          <w:sz w:val="20"/>
          <w:szCs w:val="20"/>
        </w:rPr>
        <w:t xml:space="preserve">(Incorporated and registered </w:t>
      </w:r>
      <w:r w:rsidRPr="009443A2">
        <w:rPr>
          <w:rFonts w:ascii="Arial" w:hAnsi="Arial" w:cs="Arial"/>
          <w:i/>
          <w:sz w:val="20"/>
          <w:szCs w:val="20"/>
        </w:rPr>
        <w:t>in Israel with registered number 514386903</w:t>
      </w:r>
      <w:r w:rsidRPr="00753136">
        <w:rPr>
          <w:rFonts w:ascii="Arial" w:hAnsi="Arial" w:cs="Arial"/>
          <w:i/>
          <w:sz w:val="20"/>
          <w:szCs w:val="20"/>
        </w:rPr>
        <w:t>)</w:t>
      </w:r>
    </w:p>
    <w:p w14:paraId="328D61A7" w14:textId="77777777" w:rsidR="00EB0775" w:rsidRPr="00753136" w:rsidRDefault="00EB0775" w:rsidP="00EB077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87"/>
        <w:gridCol w:w="2035"/>
      </w:tblGrid>
      <w:tr w:rsidR="00EB0775" w:rsidRPr="00753136" w14:paraId="71C35DDE" w14:textId="77777777" w:rsidTr="008156BD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74E81EB4" w14:textId="77777777" w:rsidR="00EB0775" w:rsidRPr="00753136" w:rsidRDefault="00EB0775" w:rsidP="008156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136">
              <w:rPr>
                <w:rFonts w:ascii="Arial" w:hAnsi="Arial" w:cs="Arial"/>
                <w:i/>
                <w:sz w:val="20"/>
                <w:szCs w:val="20"/>
              </w:rPr>
              <w:t>Dire</w:t>
            </w:r>
            <w:bookmarkStart w:id="0" w:name="Directors"/>
            <w:bookmarkEnd w:id="0"/>
            <w:r w:rsidRPr="00753136">
              <w:rPr>
                <w:rFonts w:ascii="Arial" w:hAnsi="Arial" w:cs="Arial"/>
                <w:i/>
                <w:sz w:val="20"/>
                <w:szCs w:val="20"/>
              </w:rPr>
              <w:t>ctors</w:t>
            </w:r>
            <w:r w:rsidRPr="0075313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7EED3D5" w14:textId="77777777" w:rsidR="00EB0775" w:rsidRPr="00753136" w:rsidRDefault="00EB0775" w:rsidP="008156B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97C538" w14:textId="77777777" w:rsidR="00930368" w:rsidRDefault="00EB0775" w:rsidP="008156BD">
            <w:pPr>
              <w:spacing w:after="0" w:line="240" w:lineRule="auto"/>
              <w:rPr>
                <w:rFonts w:ascii="Arial" w:eastAsia="Arial" w:hAnsi="Arial" w:cs="Arial"/>
                <w:bCs/>
                <w:color w:val="000000"/>
                <w:sz w:val="20"/>
                <w:lang w:eastAsia="en-US"/>
              </w:rPr>
            </w:pPr>
            <w:r w:rsidRPr="009443A2">
              <w:rPr>
                <w:rFonts w:ascii="Arial" w:eastAsia="Arial" w:hAnsi="Arial" w:cs="Arial"/>
                <w:bCs/>
                <w:color w:val="000000"/>
                <w:sz w:val="20"/>
                <w:lang w:eastAsia="en-US"/>
              </w:rPr>
              <w:t>The Right, Honourable, The Lord Browne of Madingley</w:t>
            </w:r>
            <w:r>
              <w:rPr>
                <w:rFonts w:ascii="Arial" w:eastAsia="Arial" w:hAnsi="Arial" w:cs="Arial"/>
                <w:bCs/>
                <w:color w:val="000000"/>
                <w:sz w:val="20"/>
                <w:lang w:eastAsia="en-US"/>
              </w:rPr>
              <w:t xml:space="preserve"> </w:t>
            </w:r>
          </w:p>
          <w:p w14:paraId="70415058" w14:textId="56AD68BB" w:rsidR="00EB0775" w:rsidRPr="009443A2" w:rsidRDefault="00EB0775" w:rsidP="008156BD">
            <w:pPr>
              <w:spacing w:after="0" w:line="240" w:lineRule="auto"/>
              <w:rPr>
                <w:rFonts w:ascii="Arial" w:eastAsia="Arial" w:hAnsi="Arial" w:cs="Arial"/>
                <w:bCs/>
                <w:color w:val="000000"/>
                <w:sz w:val="20"/>
                <w:lang w:eastAsia="en-US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lang w:eastAsia="en-US"/>
              </w:rPr>
              <w:t>(</w:t>
            </w:r>
            <w:r w:rsidRPr="009443A2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lang w:eastAsia="en-US"/>
              </w:rPr>
              <w:t>Non-Executive Chairman)</w:t>
            </w:r>
          </w:p>
          <w:p w14:paraId="14B42221" w14:textId="77777777" w:rsidR="00EB0775" w:rsidRPr="009443A2" w:rsidRDefault="00EB0775" w:rsidP="008156BD">
            <w:pPr>
              <w:spacing w:after="0" w:line="240" w:lineRule="auto"/>
              <w:rPr>
                <w:rFonts w:ascii="Arial" w:eastAsia="Arial" w:hAnsi="Arial" w:cs="Arial"/>
                <w:bCs/>
                <w:color w:val="000000"/>
                <w:sz w:val="20"/>
                <w:lang w:eastAsia="en-US"/>
              </w:rPr>
            </w:pPr>
            <w:r w:rsidRPr="009443A2">
              <w:rPr>
                <w:rFonts w:ascii="Arial" w:eastAsia="Arial" w:hAnsi="Arial" w:cs="Arial"/>
                <w:bCs/>
                <w:color w:val="000000"/>
                <w:sz w:val="20"/>
                <w:lang w:eastAsia="en-US"/>
              </w:rPr>
              <w:t>Ami Daniel</w:t>
            </w:r>
            <w:r>
              <w:rPr>
                <w:rFonts w:ascii="Arial" w:eastAsia="Arial" w:hAnsi="Arial" w:cs="Arial"/>
                <w:bCs/>
                <w:color w:val="000000"/>
                <w:sz w:val="20"/>
                <w:lang w:eastAsia="en-US"/>
              </w:rPr>
              <w:t xml:space="preserve"> </w:t>
            </w:r>
            <w:r w:rsidRPr="009443A2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lang w:eastAsia="en-US"/>
              </w:rPr>
              <w:t>(Chief Executive Officer)</w:t>
            </w:r>
          </w:p>
          <w:p w14:paraId="5D8DFDAA" w14:textId="77777777" w:rsidR="00EB0775" w:rsidRPr="009443A2" w:rsidRDefault="00EB0775" w:rsidP="008156BD">
            <w:pPr>
              <w:spacing w:after="0" w:line="240" w:lineRule="auto"/>
              <w:rPr>
                <w:rFonts w:ascii="Arial" w:eastAsia="Arial" w:hAnsi="Arial" w:cs="Arial"/>
                <w:bCs/>
                <w:color w:val="000000"/>
                <w:sz w:val="20"/>
                <w:lang w:eastAsia="en-US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lang w:eastAsia="en-US"/>
              </w:rPr>
              <w:t xml:space="preserve">Ofer Segev </w:t>
            </w:r>
            <w:r w:rsidRPr="009443A2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lang w:eastAsia="en-US"/>
              </w:rPr>
              <w:t>(Chief Financial Officer)</w:t>
            </w:r>
          </w:p>
          <w:p w14:paraId="2B494D02" w14:textId="77777777" w:rsidR="00EB0775" w:rsidRPr="009443A2" w:rsidRDefault="00EB0775" w:rsidP="008156BD">
            <w:pPr>
              <w:spacing w:after="0" w:line="240" w:lineRule="auto"/>
              <w:rPr>
                <w:rFonts w:ascii="Arial" w:eastAsia="Arial" w:hAnsi="Arial" w:cs="Arial"/>
                <w:bCs/>
                <w:color w:val="000000"/>
                <w:sz w:val="20"/>
                <w:lang w:eastAsia="en-US"/>
              </w:rPr>
            </w:pPr>
            <w:r w:rsidRPr="009443A2">
              <w:rPr>
                <w:rFonts w:ascii="Arial" w:eastAsia="Arial" w:hAnsi="Arial" w:cs="Arial"/>
                <w:bCs/>
                <w:color w:val="000000"/>
                <w:sz w:val="20"/>
                <w:lang w:eastAsia="en-US"/>
              </w:rPr>
              <w:t>Tom Hutton</w:t>
            </w:r>
            <w:r>
              <w:rPr>
                <w:rFonts w:ascii="Arial" w:eastAsia="Arial" w:hAnsi="Arial" w:cs="Arial"/>
                <w:bCs/>
                <w:color w:val="000000"/>
                <w:sz w:val="20"/>
                <w:lang w:eastAsia="en-US"/>
              </w:rPr>
              <w:t xml:space="preserve"> </w:t>
            </w:r>
            <w:r w:rsidRPr="009443A2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lang w:eastAsia="en-US"/>
              </w:rPr>
              <w:t>(Non-Executive Director)</w:t>
            </w:r>
          </w:p>
          <w:p w14:paraId="361C0EEF" w14:textId="77777777" w:rsidR="00EB0775" w:rsidRPr="009443A2" w:rsidRDefault="00EB0775" w:rsidP="008156BD">
            <w:pPr>
              <w:spacing w:after="0" w:line="240" w:lineRule="auto"/>
              <w:rPr>
                <w:rFonts w:ascii="Arial" w:eastAsia="Arial" w:hAnsi="Arial" w:cs="Arial"/>
                <w:bCs/>
                <w:color w:val="000000"/>
                <w:sz w:val="20"/>
                <w:lang w:eastAsia="en-US"/>
              </w:rPr>
            </w:pPr>
            <w:r w:rsidRPr="009443A2">
              <w:rPr>
                <w:rFonts w:ascii="Arial" w:eastAsia="Arial" w:hAnsi="Arial" w:cs="Arial"/>
                <w:bCs/>
                <w:color w:val="000000"/>
                <w:sz w:val="20"/>
                <w:lang w:eastAsia="en-US"/>
              </w:rPr>
              <w:t>Guy Mason</w:t>
            </w:r>
            <w:r>
              <w:rPr>
                <w:rFonts w:ascii="Arial" w:eastAsia="Arial" w:hAnsi="Arial" w:cs="Arial"/>
                <w:bCs/>
                <w:color w:val="000000"/>
                <w:sz w:val="20"/>
                <w:lang w:eastAsia="en-US"/>
              </w:rPr>
              <w:t xml:space="preserve"> </w:t>
            </w:r>
            <w:r w:rsidRPr="009443A2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lang w:eastAsia="en-US"/>
              </w:rPr>
              <w:t>(Non-Executive Director)</w:t>
            </w:r>
          </w:p>
          <w:p w14:paraId="6D75AC0E" w14:textId="77777777" w:rsidR="00EB0775" w:rsidRPr="009443A2" w:rsidRDefault="00EB0775" w:rsidP="008156BD">
            <w:pPr>
              <w:spacing w:after="0" w:line="240" w:lineRule="auto"/>
              <w:rPr>
                <w:rFonts w:ascii="Arial" w:eastAsia="Arial" w:hAnsi="Arial" w:cs="Arial"/>
                <w:bCs/>
                <w:color w:val="000000"/>
                <w:sz w:val="20"/>
                <w:lang w:eastAsia="en-US"/>
              </w:rPr>
            </w:pPr>
            <w:r w:rsidRPr="009443A2">
              <w:rPr>
                <w:rFonts w:ascii="Arial" w:eastAsia="Arial" w:hAnsi="Arial" w:cs="Arial"/>
                <w:bCs/>
                <w:color w:val="000000"/>
                <w:sz w:val="20"/>
                <w:lang w:eastAsia="en-US"/>
              </w:rPr>
              <w:t>Shereen El Zarkani</w:t>
            </w:r>
            <w:r>
              <w:rPr>
                <w:rFonts w:ascii="Arial" w:eastAsia="Arial" w:hAnsi="Arial" w:cs="Arial"/>
                <w:bCs/>
                <w:color w:val="000000"/>
                <w:sz w:val="20"/>
                <w:lang w:eastAsia="en-US"/>
              </w:rPr>
              <w:t xml:space="preserve"> </w:t>
            </w:r>
            <w:r w:rsidRPr="009443A2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lang w:eastAsia="en-US"/>
              </w:rPr>
              <w:t>(Non-Executive Director)</w:t>
            </w:r>
          </w:p>
          <w:p w14:paraId="56568EFE" w14:textId="77777777" w:rsidR="00EB0775" w:rsidRPr="00753136" w:rsidRDefault="00EB0775" w:rsidP="008156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43A2">
              <w:rPr>
                <w:rFonts w:ascii="Arial" w:eastAsia="Arial" w:hAnsi="Arial" w:cs="Arial"/>
                <w:bCs/>
                <w:color w:val="000000"/>
                <w:sz w:val="20"/>
                <w:lang w:eastAsia="en-US"/>
              </w:rPr>
              <w:t>Stuart Kilpatrick</w:t>
            </w:r>
            <w:r>
              <w:rPr>
                <w:rFonts w:ascii="Arial" w:eastAsia="Arial" w:hAnsi="Arial" w:cs="Arial"/>
                <w:bCs/>
                <w:color w:val="000000"/>
                <w:sz w:val="20"/>
                <w:lang w:eastAsia="en-US"/>
              </w:rPr>
              <w:t xml:space="preserve"> </w:t>
            </w:r>
            <w:r w:rsidRPr="009443A2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lang w:eastAsia="en-US"/>
              </w:rPr>
              <w:t>(Non-Executive Director)</w:t>
            </w:r>
          </w:p>
          <w:p w14:paraId="51B8947E" w14:textId="77777777" w:rsidR="00EB0775" w:rsidRPr="00753136" w:rsidRDefault="00EB0775" w:rsidP="008156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31258708" w14:textId="77777777" w:rsidR="00EB0775" w:rsidRPr="00753136" w:rsidRDefault="00EB0775" w:rsidP="008156B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3136">
              <w:rPr>
                <w:rFonts w:ascii="Arial" w:hAnsi="Arial" w:cs="Arial"/>
                <w:i/>
                <w:sz w:val="20"/>
                <w:szCs w:val="20"/>
              </w:rPr>
              <w:t>Registered office</w:t>
            </w:r>
            <w:r w:rsidRPr="0075313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7BA0EE8" w14:textId="77777777" w:rsidR="00EB0775" w:rsidRPr="00753136" w:rsidRDefault="00EB0775" w:rsidP="008156B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7DA9B53" w14:textId="77777777" w:rsidR="00EB0775" w:rsidRPr="009443A2" w:rsidRDefault="00EB0775" w:rsidP="008156B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443A2">
              <w:rPr>
                <w:rFonts w:ascii="Arial" w:hAnsi="Arial" w:cs="Arial"/>
                <w:bCs/>
                <w:sz w:val="20"/>
                <w:szCs w:val="20"/>
              </w:rPr>
              <w:t>2 Hashlosha Street</w:t>
            </w:r>
          </w:p>
          <w:p w14:paraId="688565BD" w14:textId="77777777" w:rsidR="00EB0775" w:rsidRDefault="00EB0775" w:rsidP="008156B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443A2">
              <w:rPr>
                <w:rFonts w:ascii="Arial" w:hAnsi="Arial" w:cs="Arial"/>
                <w:bCs/>
                <w:sz w:val="20"/>
                <w:szCs w:val="20"/>
              </w:rPr>
              <w:t>Tel Aviv</w:t>
            </w:r>
          </w:p>
          <w:p w14:paraId="609CF267" w14:textId="77777777" w:rsidR="00EB0775" w:rsidRPr="009443A2" w:rsidRDefault="00EB0775" w:rsidP="008156B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443A2">
              <w:rPr>
                <w:rFonts w:ascii="Arial" w:hAnsi="Arial" w:cs="Arial"/>
                <w:bCs/>
                <w:sz w:val="20"/>
                <w:szCs w:val="20"/>
              </w:rPr>
              <w:t>6706054</w:t>
            </w:r>
          </w:p>
          <w:p w14:paraId="000C4518" w14:textId="77777777" w:rsidR="00EB0775" w:rsidRPr="00753136" w:rsidRDefault="00EB0775" w:rsidP="008156B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43A2">
              <w:rPr>
                <w:rFonts w:ascii="Arial" w:hAnsi="Arial" w:cs="Arial"/>
                <w:bCs/>
                <w:sz w:val="20"/>
                <w:szCs w:val="20"/>
              </w:rPr>
              <w:t>Israel</w:t>
            </w:r>
          </w:p>
        </w:tc>
      </w:tr>
    </w:tbl>
    <w:p w14:paraId="6EF4F7AC" w14:textId="0F9F7BCA" w:rsidR="00EB0775" w:rsidRPr="00C13E50" w:rsidRDefault="00930368" w:rsidP="00C13E50">
      <w:pPr>
        <w:jc w:val="right"/>
        <w:rPr>
          <w:rFonts w:ascii="Arial" w:hAnsi="Arial" w:cs="Arial"/>
          <w:sz w:val="20"/>
          <w:szCs w:val="20"/>
          <w:lang w:bidi="he-IL"/>
        </w:rPr>
      </w:pPr>
      <w:r>
        <w:rPr>
          <w:rFonts w:ascii="Arial" w:hAnsi="Arial" w:cs="Arial"/>
          <w:sz w:val="20"/>
          <w:szCs w:val="20"/>
        </w:rPr>
        <w:t>01</w:t>
      </w:r>
      <w:r w:rsidR="00135967">
        <w:rPr>
          <w:rFonts w:ascii="Arial" w:hAnsi="Arial" w:cs="Arial"/>
          <w:sz w:val="20"/>
          <w:szCs w:val="20"/>
        </w:rPr>
        <w:t>.05.2024</w:t>
      </w:r>
    </w:p>
    <w:p w14:paraId="550A113B" w14:textId="77777777" w:rsidR="00EB0775" w:rsidRDefault="00EB0775" w:rsidP="00EB0775">
      <w:pPr>
        <w:pStyle w:val="BodyText"/>
        <w:jc w:val="center"/>
        <w:rPr>
          <w:rFonts w:cs="Arial"/>
          <w:i/>
          <w:sz w:val="20"/>
          <w:szCs w:val="20"/>
        </w:rPr>
      </w:pPr>
    </w:p>
    <w:p w14:paraId="46CE69DC" w14:textId="607FBC68" w:rsidR="00EB0775" w:rsidRDefault="00EB0775" w:rsidP="00EB0775">
      <w:pPr>
        <w:pStyle w:val="BodyText"/>
        <w:jc w:val="center"/>
        <w:rPr>
          <w:rFonts w:cs="Arial"/>
          <w:i/>
          <w:sz w:val="20"/>
          <w:szCs w:val="20"/>
        </w:rPr>
      </w:pPr>
      <w:r w:rsidRPr="00753136">
        <w:rPr>
          <w:rFonts w:cs="Arial"/>
          <w:i/>
          <w:sz w:val="20"/>
          <w:szCs w:val="20"/>
        </w:rPr>
        <w:t>To Shareholders and, for information only, to holders of options over ordinary shares in the Company</w:t>
      </w:r>
    </w:p>
    <w:p w14:paraId="0BF81D83" w14:textId="77777777" w:rsidR="00EB0775" w:rsidRPr="00753136" w:rsidRDefault="00EB0775" w:rsidP="00EB0775">
      <w:pPr>
        <w:pStyle w:val="BodyText"/>
        <w:jc w:val="center"/>
        <w:rPr>
          <w:rFonts w:cs="Arial"/>
          <w:i/>
          <w:sz w:val="20"/>
          <w:szCs w:val="20"/>
        </w:rPr>
      </w:pPr>
    </w:p>
    <w:p w14:paraId="77BFF7CF" w14:textId="06AEDC79" w:rsidR="00EB0775" w:rsidRDefault="00EB0775" w:rsidP="00EB0775">
      <w:pPr>
        <w:pStyle w:val="BodyText"/>
        <w:rPr>
          <w:rFonts w:cs="Arial"/>
          <w:sz w:val="20"/>
          <w:szCs w:val="20"/>
        </w:rPr>
      </w:pPr>
      <w:r w:rsidRPr="00753136">
        <w:rPr>
          <w:rFonts w:cs="Arial"/>
          <w:sz w:val="20"/>
          <w:szCs w:val="20"/>
        </w:rPr>
        <w:t>Dear Shareholder</w:t>
      </w:r>
      <w:r w:rsidR="00A95289">
        <w:rPr>
          <w:rFonts w:cs="Arial"/>
          <w:sz w:val="20"/>
          <w:szCs w:val="20"/>
        </w:rPr>
        <w:t>,</w:t>
      </w:r>
    </w:p>
    <w:p w14:paraId="33C93CC7" w14:textId="4A2D6B78" w:rsidR="00EB0775" w:rsidRDefault="00EB0775" w:rsidP="00EB0775">
      <w:pPr>
        <w:pStyle w:val="BodyText"/>
        <w:rPr>
          <w:rFonts w:cs="Arial"/>
          <w:sz w:val="20"/>
          <w:szCs w:val="20"/>
        </w:rPr>
      </w:pPr>
    </w:p>
    <w:p w14:paraId="3E7E4DF9" w14:textId="4879BE84" w:rsidR="00EB0775" w:rsidRPr="00EB0775" w:rsidRDefault="00EB0775" w:rsidP="00EB0775">
      <w:pPr>
        <w:jc w:val="both"/>
        <w:rPr>
          <w:rFonts w:ascii="Arial" w:hAnsi="Arial" w:cs="Arial"/>
          <w:sz w:val="20"/>
          <w:szCs w:val="20"/>
        </w:rPr>
      </w:pPr>
      <w:r w:rsidRPr="00EB0775">
        <w:rPr>
          <w:rFonts w:ascii="Arial" w:hAnsi="Arial" w:cs="Arial"/>
          <w:sz w:val="20"/>
          <w:szCs w:val="20"/>
        </w:rPr>
        <w:t xml:space="preserve">Further to the notice of annual general meeting issued by the </w:t>
      </w:r>
      <w:r w:rsidRPr="00135967">
        <w:rPr>
          <w:rFonts w:ascii="Arial" w:hAnsi="Arial" w:cs="Arial"/>
          <w:sz w:val="20"/>
          <w:szCs w:val="20"/>
        </w:rPr>
        <w:t xml:space="preserve">Company on </w:t>
      </w:r>
      <w:r w:rsidR="00135967" w:rsidRPr="00135967">
        <w:rPr>
          <w:rFonts w:ascii="Arial" w:hAnsi="Arial" w:cs="Arial"/>
          <w:sz w:val="20"/>
          <w:szCs w:val="20"/>
        </w:rPr>
        <w:t>18</w:t>
      </w:r>
      <w:r w:rsidR="006813DC" w:rsidRPr="00135967">
        <w:rPr>
          <w:rFonts w:ascii="Arial" w:hAnsi="Arial" w:cs="Arial"/>
          <w:sz w:val="20"/>
          <w:szCs w:val="20"/>
        </w:rPr>
        <w:t xml:space="preserve"> April 2024</w:t>
      </w:r>
      <w:r w:rsidRPr="00135967">
        <w:rPr>
          <w:rFonts w:ascii="Arial" w:hAnsi="Arial" w:cs="Arial"/>
          <w:sz w:val="20"/>
          <w:szCs w:val="20"/>
        </w:rPr>
        <w:t>,</w:t>
      </w:r>
      <w:r w:rsidRPr="00EB0775">
        <w:rPr>
          <w:rFonts w:ascii="Arial" w:hAnsi="Arial" w:cs="Arial"/>
          <w:sz w:val="20"/>
          <w:szCs w:val="20"/>
        </w:rPr>
        <w:t xml:space="preserve"> the Company has arranged for a video conference facility to allow shareholders to follow proceedings at the AGM remotely. The video conference facility will be listen only, other than for </w:t>
      </w:r>
      <w:r w:rsidRPr="00135967">
        <w:rPr>
          <w:rFonts w:ascii="Arial" w:hAnsi="Arial" w:cs="Arial"/>
          <w:sz w:val="20"/>
          <w:szCs w:val="20"/>
        </w:rPr>
        <w:t>Directors (if any attend remotely). Shareholders interested in following proceedings at the AGM remotely thorough this facility are invited to contact the Company by email at</w:t>
      </w:r>
      <w:r w:rsidRPr="00135967">
        <w:rPr>
          <w:rFonts w:asciiTheme="minorBidi" w:hAnsiTheme="minorBidi" w:cstheme="minorBidi"/>
          <w:i/>
          <w:iCs/>
          <w:color w:val="000000"/>
          <w:sz w:val="20"/>
          <w:szCs w:val="20"/>
        </w:rPr>
        <w:t xml:space="preserve"> </w:t>
      </w:r>
      <w:hyperlink r:id="rId5" w:history="1">
        <w:r w:rsidR="00EA7E08" w:rsidRPr="00135967">
          <w:rPr>
            <w:rStyle w:val="Hyperlink"/>
            <w:rFonts w:asciiTheme="minorBidi" w:hAnsiTheme="minorBidi" w:cstheme="minorBidi"/>
            <w:i/>
            <w:iCs/>
            <w:sz w:val="20"/>
            <w:szCs w:val="20"/>
          </w:rPr>
          <w:t>legal@wnwd.com</w:t>
        </w:r>
      </w:hyperlink>
      <w:r w:rsidRPr="00135967">
        <w:rPr>
          <w:rFonts w:asciiTheme="minorBidi" w:hAnsiTheme="minorBidi" w:cstheme="minorBidi"/>
          <w:i/>
          <w:iCs/>
          <w:color w:val="000000"/>
          <w:sz w:val="20"/>
          <w:szCs w:val="20"/>
        </w:rPr>
        <w:t xml:space="preserve"> </w:t>
      </w:r>
      <w:r w:rsidRPr="00135967">
        <w:rPr>
          <w:rFonts w:ascii="Arial" w:hAnsi="Arial" w:cs="Arial"/>
          <w:sz w:val="20"/>
          <w:szCs w:val="20"/>
        </w:rPr>
        <w:t xml:space="preserve">by no later than </w:t>
      </w:r>
      <w:r w:rsidRPr="00135967">
        <w:rPr>
          <w:rFonts w:ascii="Arial" w:hAnsi="Arial" w:cs="Arial"/>
          <w:sz w:val="20"/>
          <w:szCs w:val="20"/>
        </w:rPr>
        <w:t>10:00</w:t>
      </w:r>
      <w:r w:rsidR="002D172C" w:rsidRPr="00135967">
        <w:rPr>
          <w:rFonts w:ascii="Arial" w:hAnsi="Arial" w:cs="Arial"/>
          <w:sz w:val="20"/>
          <w:szCs w:val="20"/>
        </w:rPr>
        <w:t xml:space="preserve"> </w:t>
      </w:r>
      <w:r w:rsidR="00D033AD" w:rsidRPr="00135967">
        <w:rPr>
          <w:rFonts w:ascii="Arial" w:hAnsi="Arial" w:cs="Arial"/>
          <w:sz w:val="20"/>
          <w:szCs w:val="20"/>
        </w:rPr>
        <w:t>BST</w:t>
      </w:r>
      <w:r w:rsidRPr="00135967">
        <w:rPr>
          <w:rFonts w:ascii="Arial" w:hAnsi="Arial" w:cs="Arial"/>
          <w:sz w:val="20"/>
          <w:szCs w:val="20"/>
        </w:rPr>
        <w:t xml:space="preserve"> on </w:t>
      </w:r>
      <w:r w:rsidR="00135967" w:rsidRPr="00135967">
        <w:rPr>
          <w:rFonts w:ascii="Arial" w:hAnsi="Arial" w:cs="Arial"/>
          <w:sz w:val="20"/>
          <w:szCs w:val="20"/>
        </w:rPr>
        <w:t>20 May 2024</w:t>
      </w:r>
      <w:r w:rsidR="002D172C" w:rsidRPr="00135967">
        <w:rPr>
          <w:rFonts w:ascii="Arial" w:hAnsi="Arial" w:cs="Arial"/>
          <w:sz w:val="20"/>
          <w:szCs w:val="20"/>
        </w:rPr>
        <w:t xml:space="preserve"> </w:t>
      </w:r>
      <w:r w:rsidRPr="00135967">
        <w:rPr>
          <w:rFonts w:ascii="Arial" w:hAnsi="Arial" w:cs="Arial"/>
          <w:sz w:val="20"/>
          <w:szCs w:val="20"/>
        </w:rPr>
        <w:t>to receive personalised conference call details.</w:t>
      </w:r>
    </w:p>
    <w:p w14:paraId="0E823116" w14:textId="77777777" w:rsidR="00EB0775" w:rsidRDefault="00EB0775" w:rsidP="00EB0775">
      <w:r>
        <w:t> </w:t>
      </w:r>
    </w:p>
    <w:p w14:paraId="693AB970" w14:textId="77777777" w:rsidR="005A1455" w:rsidRPr="004341C7" w:rsidRDefault="005A1455" w:rsidP="005A1455">
      <w:pPr>
        <w:pStyle w:val="numbering"/>
        <w:keepNext/>
        <w:numPr>
          <w:ilvl w:val="0"/>
          <w:numId w:val="0"/>
        </w:num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4341C7">
        <w:rPr>
          <w:rFonts w:cs="Arial"/>
          <w:sz w:val="20"/>
          <w:szCs w:val="20"/>
        </w:rPr>
        <w:t>By order of the Board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55"/>
        <w:gridCol w:w="4267"/>
      </w:tblGrid>
      <w:tr w:rsidR="005A1455" w14:paraId="79CE9FD7" w14:textId="77777777" w:rsidTr="008156BD"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14:paraId="0CE8FAE5" w14:textId="77777777" w:rsidR="005A1455" w:rsidRDefault="005A1455" w:rsidP="008156BD">
            <w:pPr>
              <w:keepNext/>
              <w:keepLines/>
              <w:autoSpaceDE/>
              <w:autoSpaceDN/>
              <w:adjustRightInd/>
              <w:spacing w:after="4" w:line="255" w:lineRule="auto"/>
              <w:ind w:right="3"/>
              <w:contextualSpacing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EDEAAC" w14:textId="77777777" w:rsidR="005A1455" w:rsidRPr="005A1455" w:rsidRDefault="005A1455" w:rsidP="005A1455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455">
              <w:rPr>
                <w:rFonts w:ascii="Arial" w:hAnsi="Arial" w:cs="Arial"/>
                <w:b/>
                <w:bCs/>
                <w:sz w:val="20"/>
                <w:szCs w:val="20"/>
              </w:rPr>
              <w:t>Shany Shalev</w:t>
            </w:r>
          </w:p>
          <w:p w14:paraId="2250AD44" w14:textId="77777777" w:rsidR="005A1455" w:rsidRPr="005A1455" w:rsidRDefault="005A1455" w:rsidP="005A145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1455">
              <w:rPr>
                <w:rFonts w:ascii="Arial" w:hAnsi="Arial" w:cs="Arial"/>
                <w:sz w:val="20"/>
                <w:szCs w:val="20"/>
              </w:rPr>
              <w:t>Company Secretary</w:t>
            </w:r>
          </w:p>
          <w:p w14:paraId="0C13C8F2" w14:textId="5F84FA1F" w:rsidR="005A1455" w:rsidRPr="00743E31" w:rsidRDefault="00135967" w:rsidP="005A1455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May 2024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</w:tcPr>
          <w:p w14:paraId="56AE5A64" w14:textId="04626009" w:rsidR="005A1455" w:rsidRPr="005A1455" w:rsidRDefault="005A1455" w:rsidP="005A1455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6D7026E" w14:textId="77777777" w:rsidR="005A1455" w:rsidRPr="00753136" w:rsidRDefault="005A1455" w:rsidP="005A1455">
      <w:pPr>
        <w:keepNext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11F2B468" w14:textId="77777777" w:rsidR="00670786" w:rsidRDefault="00670786"/>
    <w:sectPr w:rsidR="00670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BBE6FE1E"/>
    <w:lvl w:ilvl="0">
      <w:start w:val="1"/>
      <w:numFmt w:val="decimal"/>
      <w:pStyle w:val="numbering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418"/>
        </w:tabs>
        <w:ind w:left="1418" w:hanging="85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2381"/>
        </w:tabs>
        <w:ind w:left="2381" w:hanging="963"/>
      </w:pPr>
      <w:rPr>
        <w:rFonts w:ascii="Arial" w:hAnsi="Arial" w:cs="Times New Roman" w:hint="default"/>
        <w:b w:val="0"/>
        <w:i w:val="0"/>
        <w:sz w:val="21"/>
        <w:szCs w:val="21"/>
      </w:rPr>
    </w:lvl>
    <w:lvl w:ilvl="3">
      <w:start w:val="1"/>
      <w:numFmt w:val="decimal"/>
      <w:isLgl/>
      <w:lvlText w:val="%1.%2.%3.%4"/>
      <w:lvlJc w:val="left"/>
      <w:pPr>
        <w:tabs>
          <w:tab w:val="num" w:pos="3459"/>
        </w:tabs>
        <w:ind w:left="3459" w:hanging="1078"/>
      </w:pPr>
      <w:rPr>
        <w:rFonts w:ascii="Arial" w:hAnsi="Arial" w:cs="Times New Roman" w:hint="default"/>
        <w:b w:val="0"/>
        <w:i w:val="0"/>
        <w:sz w:val="21"/>
        <w:szCs w:val="21"/>
      </w:rPr>
    </w:lvl>
    <w:lvl w:ilvl="4">
      <w:start w:val="1"/>
      <w:numFmt w:val="decimal"/>
      <w:lvlText w:val="%1.%2.%3.%4.%5"/>
      <w:lvlJc w:val="left"/>
      <w:pPr>
        <w:tabs>
          <w:tab w:val="num" w:pos="4593"/>
        </w:tabs>
        <w:ind w:left="4593" w:hanging="1134"/>
      </w:pPr>
      <w:rPr>
        <w:rFonts w:ascii="Arial" w:hAnsi="Arial" w:cs="Times New Roman" w:hint="default"/>
        <w:b w:val="0"/>
        <w:i w:val="0"/>
        <w:sz w:val="21"/>
        <w:szCs w:val="21"/>
      </w:rPr>
    </w:lvl>
    <w:lvl w:ilvl="5">
      <w:start w:val="1"/>
      <w:numFmt w:val="decimal"/>
      <w:lvlText w:val="%1.%2.%3.%4.%5.%6"/>
      <w:lvlJc w:val="left"/>
      <w:pPr>
        <w:tabs>
          <w:tab w:val="num" w:pos="5897"/>
        </w:tabs>
        <w:ind w:left="5897" w:hanging="1304"/>
      </w:pPr>
      <w:rPr>
        <w:rFonts w:ascii="Arial" w:hAnsi="Arial" w:cs="Times New Roman" w:hint="default"/>
        <w:b w:val="0"/>
        <w:i w:val="0"/>
        <w:sz w:val="21"/>
        <w:szCs w:val="21"/>
      </w:rPr>
    </w:lvl>
    <w:lvl w:ilvl="6">
      <w:start w:val="1"/>
      <w:numFmt w:val="decimal"/>
      <w:lvlText w:val="%1.%2.%3.%4.%5.%6.%7"/>
      <w:lvlJc w:val="left"/>
      <w:pPr>
        <w:tabs>
          <w:tab w:val="num" w:pos="6804"/>
        </w:tabs>
        <w:ind w:left="6804" w:hanging="1417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eastAsia"/>
      </w:rPr>
    </w:lvl>
  </w:abstractNum>
  <w:num w:numId="1" w16cid:durableId="25453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775"/>
    <w:rsid w:val="00135099"/>
    <w:rsid w:val="00135967"/>
    <w:rsid w:val="002D172C"/>
    <w:rsid w:val="005A1455"/>
    <w:rsid w:val="00670786"/>
    <w:rsid w:val="006813DC"/>
    <w:rsid w:val="00930368"/>
    <w:rsid w:val="00A95289"/>
    <w:rsid w:val="00C13E50"/>
    <w:rsid w:val="00D033AD"/>
    <w:rsid w:val="00EA7E08"/>
    <w:rsid w:val="00EB0775"/>
    <w:rsid w:val="00EB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A462B"/>
  <w15:chartTrackingRefBased/>
  <w15:docId w15:val="{6BF650EC-9874-4FA3-8B6B-BFCAEC11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775"/>
    <w:pPr>
      <w:autoSpaceDE w:val="0"/>
      <w:autoSpaceDN w:val="0"/>
      <w:adjustRightInd w:val="0"/>
    </w:pPr>
    <w:rPr>
      <w:rFonts w:ascii="Calibri" w:eastAsia="MS Mincho" w:hAnsi="Calibri" w:cs="Times New Roman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EB0775"/>
    <w:pPr>
      <w:tabs>
        <w:tab w:val="left" w:pos="567"/>
        <w:tab w:val="left" w:pos="1418"/>
        <w:tab w:val="left" w:pos="2381"/>
        <w:tab w:val="left" w:pos="3459"/>
        <w:tab w:val="left" w:pos="4593"/>
        <w:tab w:val="left" w:pos="5897"/>
      </w:tabs>
      <w:spacing w:before="120" w:after="120" w:line="260" w:lineRule="atLeast"/>
      <w:jc w:val="both"/>
    </w:pPr>
    <w:rPr>
      <w:rFonts w:ascii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EB0775"/>
    <w:rPr>
      <w:rFonts w:ascii="Arial" w:eastAsia="MS Mincho" w:hAnsi="Arial" w:cs="Times New Roman"/>
      <w:sz w:val="21"/>
      <w:szCs w:val="21"/>
      <w:lang w:val="en-GB" w:eastAsia="en-GB" w:bidi="ar-SA"/>
    </w:rPr>
  </w:style>
  <w:style w:type="character" w:styleId="Hyperlink">
    <w:name w:val="Hyperlink"/>
    <w:basedOn w:val="DefaultParagraphFont"/>
    <w:uiPriority w:val="99"/>
    <w:unhideWhenUsed/>
    <w:rsid w:val="00EB0775"/>
    <w:rPr>
      <w:color w:val="0563C1"/>
      <w:u w:val="single"/>
    </w:rPr>
  </w:style>
  <w:style w:type="paragraph" w:customStyle="1" w:styleId="numbering">
    <w:name w:val="numbering"/>
    <w:basedOn w:val="Normal"/>
    <w:link w:val="numberingChar"/>
    <w:rsid w:val="005A1455"/>
    <w:pPr>
      <w:numPr>
        <w:numId w:val="1"/>
      </w:numPr>
      <w:spacing w:before="120" w:after="120" w:line="260" w:lineRule="atLeast"/>
    </w:pPr>
    <w:rPr>
      <w:rFonts w:ascii="Arial" w:hAnsi="Arial"/>
      <w:sz w:val="21"/>
      <w:szCs w:val="21"/>
    </w:rPr>
  </w:style>
  <w:style w:type="character" w:customStyle="1" w:styleId="numberingChar">
    <w:name w:val="numbering Char"/>
    <w:basedOn w:val="DefaultParagraphFont"/>
    <w:link w:val="numbering"/>
    <w:rsid w:val="005A1455"/>
    <w:rPr>
      <w:rFonts w:ascii="Arial" w:eastAsia="MS Mincho" w:hAnsi="Arial" w:cs="Times New Roman"/>
      <w:sz w:val="21"/>
      <w:szCs w:val="21"/>
      <w:lang w:val="en-GB" w:eastAsia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A7E0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D172C"/>
    <w:pPr>
      <w:spacing w:after="0" w:line="240" w:lineRule="auto"/>
    </w:pPr>
    <w:rPr>
      <w:rFonts w:ascii="Calibri" w:eastAsia="MS Mincho" w:hAnsi="Calibri" w:cs="Times New Roman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1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gal@wnw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Shany Shalev</dc:creator>
  <cp:keywords/>
  <dc:description/>
  <cp:lastModifiedBy>Shany Shalev</cp:lastModifiedBy>
  <cp:revision>9</cp:revision>
  <dcterms:created xsi:type="dcterms:W3CDTF">2022-05-08T09:44:00Z</dcterms:created>
  <dcterms:modified xsi:type="dcterms:W3CDTF">2024-05-01T07:27:00Z</dcterms:modified>
</cp:coreProperties>
</file>